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Публічне акціонерне товариство " Житомирський завод огороджувальних конструкцій "</w:t>
      </w:r>
    </w:p>
    <w:p w:rsidR="00000000" w:rsidDel="00000000" w:rsidP="00000000" w:rsidRDefault="00000000" w:rsidRPr="00000000">
      <w:pPr>
        <w:ind w:left="-144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(код ЄДРПОУ  01413394, місцезнаходження – 10001, м. Житомир, вул. Баранова, буд. 89) </w:t>
      </w:r>
    </w:p>
    <w:p w:rsidR="00000000" w:rsidDel="00000000" w:rsidP="00000000" w:rsidRDefault="00000000" w:rsidRPr="00000000">
      <w:pPr>
        <w:ind w:left="-144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повідомляє про проведення чергових загальних зборів акціонерів (надалі за текстом –</w:t>
      </w:r>
    </w:p>
    <w:p w:rsidR="00000000" w:rsidDel="00000000" w:rsidP="00000000" w:rsidRDefault="00000000" w:rsidRPr="00000000">
      <w:pPr>
        <w:ind w:left="-144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- загальні збори ), які відбудуться </w:t>
      </w:r>
      <w:r w:rsidDel="00000000" w:rsidR="00000000" w:rsidRPr="00000000">
        <w:rPr>
          <w:b w:val="1"/>
          <w:sz w:val="24"/>
          <w:szCs w:val="24"/>
          <w:rtl w:val="0"/>
        </w:rPr>
        <w:t xml:space="preserve">26 квітня 2012 року о 10 годині </w:t>
      </w:r>
      <w:r w:rsidDel="00000000" w:rsidR="00000000" w:rsidRPr="00000000">
        <w:rPr>
          <w:sz w:val="24"/>
          <w:szCs w:val="24"/>
          <w:rtl w:val="0"/>
        </w:rPr>
        <w:t xml:space="preserve">за адресою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right="-725" w:firstLine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sz w:val="24"/>
          <w:szCs w:val="24"/>
          <w:rtl w:val="0"/>
        </w:rPr>
        <w:t xml:space="preserve">10001, м. Житомир, вул. Баранова, 89 в актовому залі заводу. 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ПЕРЕЛІК ПИТАНЬ, ЩО ВИНОСЯТЬСЯ НА ГОЛОСУВАННЯ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 (ПОРЯДОК ДЕННИЙ)</w:t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Обрання членів лічильної комісії.</w:t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ind w:left="0" w:firstLine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 Обрання секретаря загальних зборів. Прийняття рішень з питань порядку проведення  </w:t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ind w:left="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загальних зборів.</w:t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 Розгляд звіту Правління Товариства за 2011 рік та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прийняття рішення за наслідками його розгляду.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 Розгляд звіту Наглядової ради Товариства за 2011 рік та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прийняття рішення за                                 наслідками його розгляду.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ind w:left="0" w:firstLine="0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Розгляд звіту Ревізійної комісії Товариства за 2011 рік та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прийняття рішення за </w:t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ind w:left="0" w:firstLine="0"/>
        <w:contextualSpacing w:val="0"/>
        <w:jc w:val="both"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наслідками його розгляду.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 Затвердження річного звіту Товариства за 2011 рік.</w:t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Розподіл прибутку Товариства, отриманого за результатами роботи  в 2011 році.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spacing w:after="0" w:before="0" w:line="240" w:lineRule="auto"/>
        <w:ind w:left="0" w:right="-54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Прийняття рішення про попереднє схвалення значних правочинів, які можуть вчинятися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26"/>
        </w:tabs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Товариством  протягом року з дати прийняття  такого рішення.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Реєстрація акціонерів та  їх представників відбуватиметься 26 квітня 2012 року з 08-30 до 9-45 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за місцевим  часом  за  місцем їх  проведення. Учасникам  загальних з борів – фізичним особам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(акціонерам, представникам акціонерів) необхідно мати при собі документ, що посвідчує особу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( паспорт ). Представникам  акціонерів  необхідно  додатково  надати  документ, що  посвідчує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повноваження  представника ( для керівників юридичних  осіб – документ про призначення  на 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посаду та  виписку із  Статуту акціонера –  юридичної особи, у  якій визначені  повноваження 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керівника  діяти без довіреності,  для інших представників – довіреність,  видану для  участі  у</w:t>
      </w:r>
    </w:p>
    <w:p w:rsidR="00000000" w:rsidDel="00000000" w:rsidP="00000000" w:rsidRDefault="00000000" w:rsidRPr="00000000">
      <w:pPr>
        <w:ind w:left="-1260" w:right="-725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загальних  зборах, оформлену згідно з  вимогами чинного  законодавства України ).</w:t>
      </w:r>
    </w:p>
    <w:p w:rsidR="00000000" w:rsidDel="00000000" w:rsidP="00000000" w:rsidRDefault="00000000" w:rsidRPr="00000000">
      <w:pPr>
        <w:ind w:left="-126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Документи повинні  надавати можливість однозначно  ідентифікувати особу  як акціонера </w:t>
      </w:r>
    </w:p>
    <w:p w:rsidR="00000000" w:rsidDel="00000000" w:rsidP="00000000" w:rsidRDefault="00000000" w:rsidRPr="00000000">
      <w:pPr>
        <w:ind w:left="-126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Товариства (згідно  з переліком  акціонерів Товариства,  які мають право на участь у загальних</w:t>
      </w:r>
    </w:p>
    <w:p w:rsidR="00000000" w:rsidDel="00000000" w:rsidP="00000000" w:rsidRDefault="00000000" w:rsidRPr="00000000">
      <w:pPr>
        <w:ind w:left="-1260" w:firstLine="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зборах, складеним на 24 годину 20 квітня 2012 року ).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Акціонери Товариства можуть ознайомитися  з документами, пов’язаними з порядком  денним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загальних  зборів, у  робочий час в робочі  дні  за адресою: м. Житомир, вул. Баранова, буд. 89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в  кабінеті  бухгалтера  з цінних  паперів  Товариства, а  в  день проведення  загальних  зборів 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акціонерів - також у  місці  їх  проведення. Особа,  відповідальна  за  порядок  ознайомлення 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акціонерів  з  документами -  голова правління  Товариства.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bookmarkStart w:colFirst="0" w:colLast="0" w:name="_mhn9urf80o3" w:id="0"/>
      <w:bookmarkEnd w:id="0"/>
      <w:r w:rsidDel="00000000" w:rsidR="00000000" w:rsidRPr="00000000">
        <w:rPr>
          <w:sz w:val="24"/>
          <w:szCs w:val="24"/>
          <w:rtl w:val="0"/>
        </w:rPr>
        <w:t xml:space="preserve">                 Телефон для  довідок :(412)427-659.</w:t>
      </w:r>
      <w:r w:rsidDel="00000000" w:rsidR="00000000" w:rsidRPr="00000000">
        <w:rPr>
          <w:b w:val="1"/>
          <w:rtl w:val="0"/>
        </w:rPr>
        <w:t xml:space="preserve">Оприлюднено “Відомості” №55 22.03.12р.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Основні показники фінансово-господарської діяльності підприємства (тис.грн.)</w:t>
      </w:r>
    </w:p>
    <w:p w:rsidR="00000000" w:rsidDel="00000000" w:rsidP="00000000" w:rsidRDefault="00000000" w:rsidRPr="00000000">
      <w:pPr>
        <w:ind w:left="-1260" w:hanging="36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72.0" w:type="dxa"/>
        <w:jc w:val="left"/>
        <w:tblInd w:w="19.000000000000004" w:type="dxa"/>
        <w:tblLayout w:type="fixed"/>
        <w:tblLook w:val="0400"/>
      </w:tblPr>
      <w:tblGrid>
        <w:gridCol w:w="6919"/>
        <w:gridCol w:w="1489"/>
        <w:gridCol w:w="1564"/>
        <w:tblGridChange w:id="0">
          <w:tblGrid>
            <w:gridCol w:w="6919"/>
            <w:gridCol w:w="1489"/>
            <w:gridCol w:w="156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Найменування показників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2011р.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2010р.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Усього активів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71921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67663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Основні засоби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19273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17928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Запаси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21138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15616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Сумарна дебіторська заборгованість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5515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Грошові кошти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7943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6013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Нерозподілений прибуток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3546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-1710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Власний капітал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58073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54527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Статутний капітал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2649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2649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Довгострокові зобов’язання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1000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Поточні зобов’язання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12165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11794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Чистий прибуток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3546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-1710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Середньорічна кількість простих акцій (шт.)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746193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746193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Чисельність працівників на кінець періоду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359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280" w:right="0" w:hanging="28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