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Оскільки Товариство, на загальних зборах акціонерів, не 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приймало рішення щодо додаткової емісії цінних паперів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шляхом приватного розміщення, тому  у акціонерів  не</w:t>
      </w:r>
    </w:p>
    <w:p w:rsidR="00000000" w:rsidDel="00000000" w:rsidP="00000000" w:rsidRDefault="00000000" w:rsidRPr="00000000">
      <w:pPr>
        <w:spacing w:after="160" w:before="0" w:line="259" w:lineRule="auto"/>
        <w:contextualSpacing w:val="0"/>
      </w:pPr>
      <w:r w:rsidDel="00000000" w:rsidR="00000000" w:rsidRPr="00000000">
        <w:rPr>
          <w:rFonts w:ascii="Calibri" w:cs="Calibri" w:eastAsia="Calibri" w:hAnsi="Calibri"/>
          <w:sz w:val="36"/>
          <w:szCs w:val="36"/>
          <w:rtl w:val="0"/>
        </w:rPr>
        <w:t xml:space="preserve">було  можливості  реалізації  переважного права.</w:t>
      </w: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