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Оскільки Товариство, на загальних зборах акціонерів, не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приймало рішення щодо додаткової емісії цінних паперів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шляхом приватного розміщення, тому  у акціонерів  не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було  можливості  реалізації  переважного права.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