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Рішення щодо додаткової емісії акцій не приймалось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Емітент здійснив випуск лише простих іменних акцій,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інші цінні папери Товариством не випускались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