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ind w:right="31"/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Публічне акціонерне товариство "Житомирський завод огороджувальних конструкцій" (код ЄДРПОУ 01413394, місцезнаходження – 10001, м. Житомир, вул. Баранова, буд. 89) (надалі – Товариство) повідомляє про проведення чергових загальних зборів акціонерів (надалі за текстом – загальні збори), які відбудуться 30 квітня 2013 року о 10-00 годині за адресою м. Житомир, вул. Баранова, 89 в актовому залі заводу. Реєстрація акціонерів та їх представників відбуватиметься 30 квітня 2013 року з 08-30 до 9-45 за місцевим часом за місцем проведення загальних зборів.</w:t>
      </w:r>
    </w:p>
    <w:p w:rsidR="00000000" w:rsidDel="00000000" w:rsidP="00000000" w:rsidRDefault="00000000" w:rsidRPr="00000000">
      <w:pPr>
        <w:ind w:right="31"/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ПЕРЕЛІК ПИТАНЬ, ЩО ВИНОСЯТЬСЯ НА ГОЛОСУВАННЯ (ПОРЯДОК </w:t>
      </w:r>
    </w:p>
    <w:p w:rsidR="00000000" w:rsidDel="00000000" w:rsidP="00000000" w:rsidRDefault="00000000" w:rsidRPr="00000000">
      <w:pPr>
        <w:ind w:right="31"/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                                                           ДЕННИЙ)</w:t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426"/>
        </w:tabs>
        <w:ind w:left="0" w:right="31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Обрання членів лічильної комісії.</w:t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426"/>
        </w:tabs>
        <w:ind w:left="0" w:right="31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Обрання секретаря загальних зборів. Прийняття рішень з питань порядку проведення загальних зборів.</w:t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426"/>
        </w:tabs>
        <w:ind w:left="0" w:right="31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Розгляд звіту Правління Товариства за 2012 рік та прийняття рішення за наслідками його розгляду.</w:t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426"/>
        </w:tabs>
        <w:ind w:left="0" w:right="31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Розгляд звіту Наглядової ради Товариства за 2012 рік та прийняття рішення за наслідками його розгляду.</w:t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426"/>
        </w:tabs>
        <w:ind w:left="0" w:right="31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Розгляд звіту Ревізійної комісії Товариства за 2012 рік та прийняття рішення за наслідками його розгляду.</w:t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426"/>
        </w:tabs>
        <w:ind w:left="0" w:right="31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Затвердження річного звіту Товариства за 2012 рік;</w:t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426"/>
        </w:tabs>
        <w:ind w:left="0" w:right="31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Розподіл  прибутку  Товариства отриманого за результатами роботи в 2012 році.</w:t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426"/>
        </w:tabs>
        <w:ind w:left="0" w:right="31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Прийняття рішення  про анулювання викуплених Товариством акцій.</w:t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426"/>
        </w:tabs>
        <w:ind w:left="0" w:right="31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Прийняття рішення про зменшення статутного капіталу Товариства на обсяг сумарної номінальної вартості акцій, що анулюються.</w:t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426"/>
        </w:tabs>
        <w:ind w:left="0" w:right="31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Прийняття рішення про внесення змін до Статуту, пов'язаних  зі  зменшенням статутного капіталу Товариства.</w:t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426"/>
        </w:tabs>
        <w:ind w:left="0" w:right="31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Прийняття рішення про попереднє схвалення значних правочинів, які можуть вчинятися Товариством протягом року з дати прийняття такого рішення.</w:t>
      </w:r>
    </w:p>
    <w:p w:rsidR="00000000" w:rsidDel="00000000" w:rsidP="00000000" w:rsidRDefault="00000000" w:rsidRPr="00000000">
      <w:pPr>
        <w:ind w:right="31"/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Учасникам загальних зборів – фізичним особам (акціонерам, представникам акціонерів) необхідно мати при собі документ, що посвідчує особу (паспорт). Представникам акціонерів необхідно додатково надати документ, що посвідчує повноваження представника (для керівників юридичних осіб – документ про призначення на посаду та виписку із Статуту акціонера – юридичної особи, у якій визначені повноваження керівника діяти без довіреності, для інших представників – довіреність, видану для участі у чергових загальних зборах, оформлену згідно з вимогами чинного законодавства України).</w:t>
      </w:r>
    </w:p>
    <w:p w:rsidR="00000000" w:rsidDel="00000000" w:rsidP="00000000" w:rsidRDefault="00000000" w:rsidRPr="00000000">
      <w:pPr>
        <w:ind w:right="31"/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Перелік акціонерів, які мають право на участь у чергових загальних зборах акціонерів, складається на 24 годину 24 квітня 2013 року.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Акціонери Товариства можуть ознайомитися з документами, пов’язаними з порядком денним загальних зборів акціонерів, у робочий час в робочі дні за адресою: м. Житомир, вул. Баранова, буд. 89 в кабінеті бухгалтера з цінних паперів Товариства, а в день проведення загальних зборів акціонерів - також у місці їх проведення. Особа, відповідальна за порядок ознайомлення акціонерів з документами – бухгалтер з цінних паперів – Орлова Людмила Іванівна. Телефони для довідок (0412) 427714 ; 427659.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2"/>
          <w:szCs w:val="22"/>
          <w:rtl w:val="0"/>
        </w:rPr>
        <w:t xml:space="preserve">         Основні показники фінансово-господарської діяльності підприємства, тис.грн.</w:t>
      </w:r>
    </w:p>
    <w:tbl>
      <w:tblPr>
        <w:tblStyle w:val="Table1"/>
        <w:bidi w:val="0"/>
        <w:tblW w:w="9747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771"/>
        <w:gridCol w:w="1417"/>
        <w:gridCol w:w="1559"/>
        <w:tblGridChange w:id="0">
          <w:tblGrid>
            <w:gridCol w:w="6771"/>
            <w:gridCol w:w="1417"/>
            <w:gridCol w:w="1559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Найменування показника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2011р.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  2012р.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Усього активів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66952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92978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Основні засоби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19411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20163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Довгострокові фінансові інвестиції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 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    -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Запаси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21143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27740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Сумарна дебіторська заборгованість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3011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14714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Грошові кошти та їх еквіваленти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7943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15266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Нерзподілений прибуток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3545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 4487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Власний капітал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53070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57557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Статутний капітал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2649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  2649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Довгострокові  зобов’язання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1000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     0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Поточні зобов’язання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12199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34280     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Чистий прибуток ( збиток)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3545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  4487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Середньорічна кількість акцій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746193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746193   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Чисельність працівників на кінець періоду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339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  357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Оприлюднено «Відомості» НКЦПФР № 61 29.03.2013р.</w:t>
      </w:r>
    </w:p>
    <w:p w:rsidR="00000000" w:rsidDel="00000000" w:rsidP="00000000" w:rsidRDefault="00000000" w:rsidRPr="00000000">
      <w:pPr>
        <w:contextualSpacing w:val="0"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decimal"/>
      <w:lvlText w:val="%2."/>
      <w:lvlJc w:val="left"/>
      <w:pPr>
        <w:ind w:left="1080" w:firstLine="720"/>
      </w:pPr>
      <w:rPr/>
    </w:lvl>
    <w:lvl w:ilvl="2">
      <w:start w:val="1"/>
      <w:numFmt w:val="decimal"/>
      <w:lvlText w:val="%3."/>
      <w:lvlJc w:val="left"/>
      <w:pPr>
        <w:ind w:left="1440" w:firstLine="1080"/>
      </w:pPr>
      <w:rPr/>
    </w:lvl>
    <w:lvl w:ilvl="3">
      <w:start w:val="1"/>
      <w:numFmt w:val="decimal"/>
      <w:lvlText w:val="%4."/>
      <w:lvlJc w:val="left"/>
      <w:pPr>
        <w:ind w:left="1800" w:firstLine="1440"/>
      </w:pPr>
      <w:rPr/>
    </w:lvl>
    <w:lvl w:ilvl="4">
      <w:start w:val="1"/>
      <w:numFmt w:val="decimal"/>
      <w:lvlText w:val="%5."/>
      <w:lvlJc w:val="left"/>
      <w:pPr>
        <w:ind w:left="2160" w:firstLine="1800"/>
      </w:pPr>
      <w:rPr/>
    </w:lvl>
    <w:lvl w:ilvl="5">
      <w:start w:val="1"/>
      <w:numFmt w:val="decimal"/>
      <w:lvlText w:val="%6."/>
      <w:lvlJc w:val="left"/>
      <w:pPr>
        <w:ind w:left="2520" w:firstLine="2160"/>
      </w:pPr>
      <w:rPr/>
    </w:lvl>
    <w:lvl w:ilvl="6">
      <w:start w:val="1"/>
      <w:numFmt w:val="decimal"/>
      <w:lvlText w:val="%7."/>
      <w:lvlJc w:val="left"/>
      <w:pPr>
        <w:ind w:left="2880" w:firstLine="2520"/>
      </w:pPr>
      <w:rPr/>
    </w:lvl>
    <w:lvl w:ilvl="7">
      <w:start w:val="1"/>
      <w:numFmt w:val="decimal"/>
      <w:lvlText w:val="%8."/>
      <w:lvlJc w:val="left"/>
      <w:pPr>
        <w:ind w:left="3240" w:firstLine="2880"/>
      </w:pPr>
      <w:rPr/>
    </w:lvl>
    <w:lvl w:ilvl="8">
      <w:start w:val="1"/>
      <w:numFmt w:val="decimal"/>
      <w:lvlText w:val="%9."/>
      <w:lvlJc w:val="left"/>
      <w:pPr>
        <w:ind w:left="3600" w:firstLine="324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